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14" w:rsidRDefault="00857D6C" w:rsidP="00857D6C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 О ПРОВЕДЕНИИ ЭЛЕКТРОННЫХ ТОРГОВ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7D6C" w:rsidRPr="00857D6C" w:rsidRDefault="00857D6C" w:rsidP="00857D6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Организатор электронных торгов:</w:t>
      </w:r>
      <w:r>
        <w:rPr>
          <w:rFonts w:ascii="Times New Roman" w:eastAsia="Times New Roman" w:hAnsi="Times New Roman" w:cs="Times New Roman"/>
          <w:sz w:val="24"/>
        </w:rPr>
        <w:t xml:space="preserve"> Комитет государственного имущества Гродненского областного исполнительного комитета, </w:t>
      </w:r>
      <w:r>
        <w:br/>
      </w:r>
      <w:r>
        <w:rPr>
          <w:rFonts w:ascii="Times New Roman" w:eastAsia="Times New Roman" w:hAnsi="Times New Roman" w:cs="Times New Roman"/>
          <w:sz w:val="24"/>
        </w:rPr>
        <w:t xml:space="preserve">230023, Гродненская область, г. Гродно, ул. 17 Сентября, 39, 8(0152) 62 39 32, 62 39 31, 62 39 23, 62 39 24 </w:t>
      </w:r>
    </w:p>
    <w:p w:rsidR="004B4E14" w:rsidRDefault="00857D6C" w:rsidP="00857D6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Оператор электронной торговой площадки:</w:t>
      </w:r>
      <w:r>
        <w:rPr>
          <w:rFonts w:ascii="Times New Roman" w:eastAsia="Times New Roman" w:hAnsi="Times New Roman" w:cs="Times New Roman"/>
          <w:sz w:val="24"/>
        </w:rPr>
        <w:t xml:space="preserve"> ОАО «Белорусская универсальная товарная биржа». </w:t>
      </w:r>
    </w:p>
    <w:p w:rsidR="00857D6C" w:rsidRDefault="00857D6C" w:rsidP="00857D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857D6C">
        <w:rPr>
          <w:rFonts w:ascii="Times New Roman" w:eastAsia="Times New Roman" w:hAnsi="Times New Roman" w:cs="Times New Roman"/>
          <w:b/>
          <w:sz w:val="24"/>
        </w:rPr>
        <w:t>Торги проводятся 23.09.2024</w:t>
      </w:r>
      <w:r>
        <w:rPr>
          <w:rFonts w:ascii="Times New Roman" w:eastAsia="Times New Roman" w:hAnsi="Times New Roman" w:cs="Times New Roman"/>
          <w:sz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торговой площадк</w:t>
      </w:r>
      <w:r>
        <w:rPr>
          <w:rFonts w:ascii="Times New Roman" w:eastAsia="Times New Roman" w:hAnsi="Times New Roman" w:cs="Times New Roman"/>
          <w:sz w:val="24"/>
        </w:rPr>
        <w:t xml:space="preserve">е «БУТБ-Имущество», </w:t>
      </w:r>
      <w:hyperlink r:id="rId6">
        <w:r w:rsidRPr="00857D6C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www</w:t>
        </w:r>
      </w:hyperlink>
      <w:hyperlink r:id="rId7">
        <w:r w:rsidRPr="00857D6C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8">
        <w:r w:rsidRPr="00857D6C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et</w:t>
        </w:r>
      </w:hyperlink>
      <w:hyperlink r:id="rId9">
        <w:r w:rsidRPr="00857D6C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10">
        <w:r w:rsidRPr="00857D6C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butb</w:t>
        </w:r>
      </w:hyperlink>
      <w:hyperlink r:id="rId11">
        <w:r w:rsidRPr="00857D6C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12">
        <w:r w:rsidRPr="00857D6C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by</w:t>
        </w:r>
      </w:hyperlink>
      <w:hyperlink r:id="rId13">
        <w:r>
          <w:rPr>
            <w:rFonts w:ascii="Times New Roman" w:eastAsia="Times New Roman" w:hAnsi="Times New Roman" w:cs="Times New Roman"/>
            <w:b/>
            <w:sz w:val="24"/>
          </w:rPr>
          <w:t>.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B4E14" w:rsidRDefault="00857D6C" w:rsidP="00857D6C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Время торгов </w:t>
      </w:r>
      <w:r>
        <w:rPr>
          <w:rFonts w:ascii="Times New Roman" w:eastAsia="Times New Roman" w:hAnsi="Times New Roman" w:cs="Times New Roman"/>
          <w:sz w:val="24"/>
        </w:rPr>
        <w:t>устанавливается инструментарием площадки в автоматическом режиме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4B4E14" w:rsidRDefault="004B4E14" w:rsidP="00857D6C">
      <w:pPr>
        <w:spacing w:after="0" w:line="240" w:lineRule="auto"/>
        <w:ind w:firstLine="709"/>
      </w:pPr>
    </w:p>
    <w:tbl>
      <w:tblPr>
        <w:tblStyle w:val="TableGrid"/>
        <w:tblW w:w="15804" w:type="dxa"/>
        <w:tblInd w:w="-74" w:type="dxa"/>
        <w:tblCellMar>
          <w:top w:w="7" w:type="dxa"/>
          <w:left w:w="10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716"/>
        <w:gridCol w:w="3748"/>
        <w:gridCol w:w="7796"/>
        <w:gridCol w:w="1843"/>
        <w:gridCol w:w="1701"/>
      </w:tblGrid>
      <w:tr w:rsidR="004B4E14" w:rsidTr="00857D6C">
        <w:trPr>
          <w:trHeight w:val="5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14" w:rsidRDefault="00BF1094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857D6C">
              <w:rPr>
                <w:rFonts w:ascii="Times New Roman" w:eastAsia="Times New Roman" w:hAnsi="Times New Roman" w:cs="Times New Roman"/>
                <w:sz w:val="24"/>
              </w:rPr>
              <w:t>лота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14" w:rsidRDefault="00857D6C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предмета торгов; его местонахождени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14" w:rsidRDefault="00857D6C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Краткая характеристика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14" w:rsidRDefault="00857D6C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Начальная цена лота, бел.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14" w:rsidRDefault="00BF1094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задатка, </w:t>
            </w:r>
            <w:r w:rsidR="00857D6C">
              <w:rPr>
                <w:rFonts w:ascii="Times New Roman" w:eastAsia="Times New Roman" w:hAnsi="Times New Roman" w:cs="Times New Roman"/>
                <w:sz w:val="24"/>
              </w:rPr>
              <w:t>бел. руб.</w:t>
            </w:r>
          </w:p>
        </w:tc>
      </w:tr>
      <w:tr w:rsidR="004B4E14" w:rsidTr="00857D6C">
        <w:trPr>
          <w:trHeight w:val="21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4" w:rsidRDefault="00857D6C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4" w:rsidRDefault="00857D6C" w:rsidP="00BF10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о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>бъектов бывшей библиотеки (</w:t>
            </w:r>
            <w:proofErr w:type="spellStart"/>
            <w:r w:rsidR="00BF1094">
              <w:rPr>
                <w:rFonts w:ascii="Times New Roman" w:eastAsia="Times New Roman" w:hAnsi="Times New Roman" w:cs="Times New Roman"/>
                <w:sz w:val="24"/>
              </w:rPr>
              <w:t>г.п</w:t>
            </w:r>
            <w:proofErr w:type="spellEnd"/>
            <w:r w:rsidR="00BF1094">
              <w:rPr>
                <w:rFonts w:ascii="Times New Roman" w:eastAsia="Times New Roman" w:hAnsi="Times New Roman" w:cs="Times New Roman"/>
                <w:sz w:val="24"/>
              </w:rPr>
              <w:t>. </w:t>
            </w:r>
            <w:proofErr w:type="spellStart"/>
            <w:r w:rsidR="00BF1094">
              <w:rPr>
                <w:rFonts w:ascii="Times New Roman" w:eastAsia="Times New Roman" w:hAnsi="Times New Roman" w:cs="Times New Roman"/>
                <w:sz w:val="24"/>
              </w:rPr>
              <w:t>Козловщина</w:t>
            </w:r>
            <w:proofErr w:type="spellEnd"/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Гродненская область, Дятловский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Козловщинский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с/с,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Козловщина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ул. Ленина, 41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4" w:rsidRDefault="00857D6C" w:rsidP="00BF10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Здание библиотеки с инв.№451/С-10791, канализа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ционная сеть с инв.№451/С-12801,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водопроводная сеть с инв.№451/С-12802, электр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>ическая сеть с инв.№451/С-12803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тепловая сеть с 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инв.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451/С-11485.  Здание библиоте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>ки с инв.№451/C-10791, 1937 </w:t>
            </w:r>
            <w:proofErr w:type="spellStart"/>
            <w:r w:rsidR="00BF1094">
              <w:rPr>
                <w:rFonts w:ascii="Times New Roman" w:eastAsia="Times New Roman" w:hAnsi="Times New Roman" w:cs="Times New Roman"/>
                <w:sz w:val="24"/>
              </w:rPr>
              <w:t>г.п</w:t>
            </w:r>
            <w:proofErr w:type="spellEnd"/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фундамент – б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утобетонный;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крыша (кровля) – лист асбестоце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>ментный; полы – доска, линолеум.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1980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Составные части и принадлежности: две пристройки, покрытие, бордюр. Тепловая сеть инв.</w:t>
            </w:r>
            <w:r w:rsidR="00BF10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451/С-11485; составные части и принадлежности: тепловая камера.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4" w:rsidRDefault="00857D6C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3 111,11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4" w:rsidRDefault="00857D6C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1 600</w:t>
            </w:r>
            <w:r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BF1094" w:rsidTr="00857D6C">
        <w:trPr>
          <w:trHeight w:val="41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объектов бывшей,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Леоновичской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Гродненская область, Дятловский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Козловщинский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с/с, д.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Лозки, ул. Советская, 11, 11/1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Pr="00857D6C" w:rsidRDefault="00BF1094" w:rsidP="00BF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57D6C">
              <w:rPr>
                <w:rFonts w:ascii="Times New Roman" w:eastAsia="Times New Roman" w:hAnsi="Times New Roman" w:cs="Times New Roman"/>
                <w:sz w:val="24"/>
              </w:rPr>
              <w:t xml:space="preserve">апитальные строения: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451/С-4622- школа - 1966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2 этажная, площадь здания – 1 884,3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фундамент – блоки фундаментные, </w:t>
            </w:r>
            <w:r w:rsidR="00857D6C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стены – кирпич, крыша – рулонные кровельные материалы, полы – доска, линолеум, плитка, составные части и принадлежности: подвал; пристройка; резервуар пожарный - 1966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площадь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.; навес теневой; площадка ПДД; благоустройство: ограждение; калитка; ворота; ограждение; дорожка тротуарная; бордюр тротуарный; флагшток; покрытие асфальтное; бордюр тротуарный; покрытие; громоотводы; спортивный городок: дорожка беговая; ворота футбольные; стойки волейбольные; перекладина; бревно;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брусья гимнастические; турник; турник; лестница; 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стница; лестница; перекладина;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№ 451/С-4627 -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тир - 1972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общая площадь 149,3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фундамент – бутобетон; наружные стены – кирпич силикатный; перекрытия – дерево;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перегородки – нет; крыша - асбестоцементный волнистый лист; полы – бетон. Многолетние зеленые насаждения. Оценочная стоимость на 01.01.2022 - 247 386,63 руб.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40,00</w:t>
            </w:r>
          </w:p>
        </w:tc>
      </w:tr>
      <w:tr w:rsidR="00BF1094" w:rsidTr="00BF1094">
        <w:trPr>
          <w:trHeight w:val="54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Pr="00857D6C" w:rsidRDefault="00BF1094" w:rsidP="00857D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объектов бывшего детского сада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(д.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Гродненская область, Дятловский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Вензовецкий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сельсовет, д.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ул. Дятловская, 2А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Здание детского сада с инв. номер 451/С-9732, тепловая сеть с инв. номер 451/С- 11664. Здание детского сада с инв. номер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451/С-9732, год постройки – 1986; количество этажей – 2; общая площадь – 534,00 кв. м.; крыша (кровля) – рулонные кровельные материалы, фундамент – бутобетон. Составные части и принадлежности: терраса, две беседки, покрытие, ограждение, двое ворот. Тепловая сеть с инв. номер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451/С- 11664, составные части и принадлежности: две тепловые камеры.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113 350,00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94" w:rsidRDefault="00BF1094" w:rsidP="00BF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14 000,00</w:t>
            </w:r>
          </w:p>
        </w:tc>
      </w:tr>
    </w:tbl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</w:t>
      </w:r>
      <w:r>
        <w:rPr>
          <w:rFonts w:ascii="Times New Roman" w:eastAsia="Times New Roman" w:hAnsi="Times New Roman" w:cs="Times New Roman"/>
          <w:b/>
          <w:sz w:val="24"/>
        </w:rPr>
        <w:t>родавец: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 лоту 1.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Сектор культуры Дятловского районного исполнительного комитета, Гродненская область, Дятловский р-н, г. Дятлово, ул. Ленина,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18; 8(01563) 61169, </w:t>
      </w:r>
      <w:r>
        <w:rPr>
          <w:rFonts w:ascii="Times New Roman" w:eastAsia="Times New Roman" w:hAnsi="Times New Roman" w:cs="Times New Roman"/>
          <w:i/>
          <w:sz w:val="24"/>
        </w:rPr>
        <w:t>66820, 21610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 лоту 2.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Отдел образования Дятловского районного исполнительного комитета, Гродненская область, г. Дятлово, ул. Ленина, 18; 8 01563 </w:t>
      </w:r>
    </w:p>
    <w:p w:rsidR="004B4E14" w:rsidRDefault="00857D6C" w:rsidP="00BF1094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lastRenderedPageBreak/>
        <w:t>69356,  68180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,  66820, 61874,  21610, 21869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 лоту 3.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Отдел образования Дятловского районного исполнительного комитета, Гродненская область, г. Дятлово, ул. Ленина, 18; 8 01563-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>69356, 21610, 21869,61728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sz w:val="4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Окончание приема заявлений на участие в торгах с прилагаемыми к ним документами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Pr="00857D6C">
        <w:rPr>
          <w:rFonts w:ascii="Times New Roman" w:eastAsia="Times New Roman" w:hAnsi="Times New Roman" w:cs="Times New Roman"/>
          <w:b/>
          <w:sz w:val="24"/>
        </w:rPr>
        <w:t>18.09.2024, до 15:00.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Задаток</w:t>
      </w:r>
      <w:r>
        <w:rPr>
          <w:rFonts w:ascii="Times New Roman" w:eastAsia="Times New Roman" w:hAnsi="Times New Roman" w:cs="Times New Roman"/>
          <w:sz w:val="24"/>
        </w:rPr>
        <w:t xml:space="preserve"> для участия в торгах перечисляется на текущий (расчетный) банковский счет № BY60AKBB30120000066940000000 в ОАО «АСБ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в г. Минске, код AKBBBY2X, УНП 190542056, получатель платежа – ОАО «Белорусская универсальная товарная биржа». </w:t>
      </w:r>
      <w:r>
        <w:rPr>
          <w:rFonts w:ascii="Times New Roman" w:eastAsia="Times New Roman" w:hAnsi="Times New Roman" w:cs="Times New Roman"/>
          <w:b/>
          <w:sz w:val="24"/>
        </w:rPr>
        <w:t>Срок в</w:t>
      </w:r>
      <w:r>
        <w:rPr>
          <w:rFonts w:ascii="Times New Roman" w:eastAsia="Times New Roman" w:hAnsi="Times New Roman" w:cs="Times New Roman"/>
          <w:b/>
          <w:sz w:val="24"/>
        </w:rPr>
        <w:t>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eastAsia="Times New Roman" w:hAnsi="Times New Roman" w:cs="Times New Roman"/>
          <w:b/>
          <w:sz w:val="24"/>
        </w:rPr>
        <w:t>Назначение платежа</w:t>
      </w:r>
      <w:r>
        <w:rPr>
          <w:rFonts w:ascii="Times New Roman" w:eastAsia="Times New Roman" w:hAnsi="Times New Roman" w:cs="Times New Roman"/>
          <w:sz w:val="24"/>
        </w:rPr>
        <w:t xml:space="preserve">: внесение суммы задатка для участия в электронных торгах рег. № ___ по заявлению № ___.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>Электронные торги проводятся в порядке, установленном По</w:t>
      </w:r>
      <w:r>
        <w:rPr>
          <w:rFonts w:ascii="Times New Roman" w:eastAsia="Times New Roman" w:hAnsi="Times New Roman" w:cs="Times New Roman"/>
          <w:sz w:val="24"/>
        </w:rPr>
        <w:t>ложением о порядке проведения электронных торгов, утвержденным постановлением Совета Министров Республики Беларусь от 12.07.2013 № 608 и Регламентом организации и проведения электронных торгов по продаже имущества и имущественных прав на электронной торгов</w:t>
      </w:r>
      <w:r>
        <w:rPr>
          <w:rFonts w:ascii="Times New Roman" w:eastAsia="Times New Roman" w:hAnsi="Times New Roman" w:cs="Times New Roman"/>
          <w:sz w:val="24"/>
        </w:rPr>
        <w:t xml:space="preserve">ой площадке ОАО «Белорусская универсальная товарная биржа».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Сроки возмещение затрат на организацию и проведение торгов: </w:t>
      </w:r>
    </w:p>
    <w:p w:rsidR="004B4E14" w:rsidRDefault="00857D6C" w:rsidP="00BF10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Победитель электронных торгов (претендент на покупку) в течение 10 рабочих дней после утверждения протокола о результатах торгов обяза</w:t>
      </w:r>
      <w:r>
        <w:rPr>
          <w:rFonts w:ascii="Times New Roman" w:eastAsia="Times New Roman" w:hAnsi="Times New Roman" w:cs="Times New Roman"/>
          <w:i/>
          <w:sz w:val="24"/>
        </w:rPr>
        <w:t>н возместить затраты на организацию и проведение торго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>в, иные платежи, указанные в протоколе.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Сроки и условия заключения договора: </w:t>
      </w:r>
    </w:p>
    <w:p w:rsidR="004B4E14" w:rsidRDefault="00857D6C" w:rsidP="00857D6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Срок подписания договора купли-продажи недвижимого имущества и аренды земельного участка – не позднее 10 рабочих дней со дня</w:t>
      </w:r>
      <w:r>
        <w:rPr>
          <w:rFonts w:ascii="Times New Roman" w:eastAsia="Times New Roman" w:hAnsi="Times New Roman" w:cs="Times New Roman"/>
          <w:i/>
          <w:sz w:val="24"/>
        </w:rPr>
        <w:t xml:space="preserve"> возмещения вышеназванных затрат, иных платежей, указанных в протоколе о результатах торгов.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4B4E14" w:rsidSect="00857D6C">
      <w:headerReference w:type="default" r:id="rId14"/>
      <w:pgSz w:w="16838" w:h="11906" w:orient="landscape"/>
      <w:pgMar w:top="1701" w:right="567" w:bottom="993" w:left="567" w:header="850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6C" w:rsidRDefault="00857D6C" w:rsidP="00857D6C">
      <w:pPr>
        <w:spacing w:after="0" w:line="240" w:lineRule="auto"/>
      </w:pPr>
      <w:r>
        <w:separator/>
      </w:r>
    </w:p>
  </w:endnote>
  <w:endnote w:type="continuationSeparator" w:id="0">
    <w:p w:rsidR="00857D6C" w:rsidRDefault="00857D6C" w:rsidP="0085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6C" w:rsidRDefault="00857D6C" w:rsidP="00857D6C">
      <w:pPr>
        <w:spacing w:after="0" w:line="240" w:lineRule="auto"/>
      </w:pPr>
      <w:r>
        <w:separator/>
      </w:r>
    </w:p>
  </w:footnote>
  <w:footnote w:type="continuationSeparator" w:id="0">
    <w:p w:rsidR="00857D6C" w:rsidRDefault="00857D6C" w:rsidP="0085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0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57D6C" w:rsidRPr="00857D6C" w:rsidRDefault="00857D6C" w:rsidP="00857D6C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57D6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57D6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57D6C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57D6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14"/>
    <w:rsid w:val="004B4E14"/>
    <w:rsid w:val="00857D6C"/>
    <w:rsid w:val="00B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11B0"/>
  <w15:docId w15:val="{74DF91C9-A710-47F3-B3AE-F35981E9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D6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5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D6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/" TargetMode="External"/><Relationship Id="rId13" Type="http://schemas.openxmlformats.org/officeDocument/2006/relationships/hyperlink" Target="http://www.et.butb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.butb.by/" TargetMode="External"/><Relationship Id="rId12" Type="http://schemas.openxmlformats.org/officeDocument/2006/relationships/hyperlink" Target="http://www.et.butb.b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t.butb.by/" TargetMode="External"/><Relationship Id="rId11" Type="http://schemas.openxmlformats.org/officeDocument/2006/relationships/hyperlink" Target="http://www.et.butb.b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t.butb.b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t.butb.b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2024-08-22T08:43:00Z</dcterms:created>
  <dcterms:modified xsi:type="dcterms:W3CDTF">2024-08-22T08:43:00Z</dcterms:modified>
</cp:coreProperties>
</file>